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112E6" w14:textId="5D5ED2A0" w:rsidR="00A500DC" w:rsidRDefault="00A500DC" w:rsidP="00A500DC">
      <w:pPr>
        <w:pStyle w:val="BodyText"/>
        <w:tabs>
          <w:tab w:val="left" w:pos="5685"/>
        </w:tabs>
        <w:jc w:val="center"/>
        <w:rPr>
          <w:rFonts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19C3327F" wp14:editId="549A58D9">
            <wp:extent cx="1266825" cy="543984"/>
            <wp:effectExtent l="0" t="0" r="0" b="889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543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8A10F" w14:textId="77777777" w:rsidR="00A500DC" w:rsidRDefault="00A500DC" w:rsidP="00A500DC">
      <w:pPr>
        <w:pStyle w:val="BodyText"/>
        <w:tabs>
          <w:tab w:val="left" w:pos="5685"/>
        </w:tabs>
        <w:jc w:val="center"/>
        <w:rPr>
          <w:rFonts w:cs="Arial"/>
          <w:b/>
          <w:sz w:val="28"/>
          <w:szCs w:val="28"/>
        </w:rPr>
      </w:pPr>
    </w:p>
    <w:p w14:paraId="3595E006" w14:textId="18EA43A2" w:rsidR="00A500DC" w:rsidRDefault="00A500DC" w:rsidP="00A500DC">
      <w:pPr>
        <w:pStyle w:val="BodyText"/>
        <w:tabs>
          <w:tab w:val="left" w:pos="5685"/>
        </w:tabs>
        <w:jc w:val="center"/>
        <w:rPr>
          <w:rFonts w:cs="Arial"/>
          <w:b/>
          <w:sz w:val="28"/>
          <w:szCs w:val="28"/>
        </w:rPr>
      </w:pPr>
      <w:r w:rsidRPr="002501C2">
        <w:rPr>
          <w:rFonts w:cs="Arial"/>
          <w:b/>
          <w:sz w:val="28"/>
          <w:szCs w:val="28"/>
        </w:rPr>
        <w:t xml:space="preserve">Fauldhouse and </w:t>
      </w:r>
      <w:proofErr w:type="spellStart"/>
      <w:r w:rsidRPr="002501C2">
        <w:rPr>
          <w:rFonts w:cs="Arial"/>
          <w:b/>
          <w:sz w:val="28"/>
          <w:szCs w:val="28"/>
        </w:rPr>
        <w:t>Breich</w:t>
      </w:r>
      <w:proofErr w:type="spellEnd"/>
      <w:r w:rsidRPr="002501C2">
        <w:rPr>
          <w:rFonts w:cs="Arial"/>
          <w:b/>
          <w:sz w:val="28"/>
          <w:szCs w:val="28"/>
        </w:rPr>
        <w:t xml:space="preserve"> Valley Community Development Trust</w:t>
      </w:r>
    </w:p>
    <w:p w14:paraId="34D16EA0" w14:textId="77777777" w:rsidR="00A500DC" w:rsidRDefault="00A500DC" w:rsidP="00A500DC">
      <w:pPr>
        <w:pStyle w:val="BodyText"/>
        <w:tabs>
          <w:tab w:val="left" w:pos="5685"/>
        </w:tabs>
        <w:jc w:val="center"/>
        <w:rPr>
          <w:rFonts w:cs="Arial"/>
          <w:b/>
          <w:sz w:val="24"/>
          <w:szCs w:val="24"/>
        </w:rPr>
      </w:pPr>
    </w:p>
    <w:p w14:paraId="11096A5F" w14:textId="5159ACE1" w:rsidR="00FA56B8" w:rsidRPr="00472DBC" w:rsidRDefault="002501C2" w:rsidP="00472DBC">
      <w:pPr>
        <w:pStyle w:val="BodyText"/>
        <w:tabs>
          <w:tab w:val="left" w:pos="5685"/>
        </w:tabs>
        <w:spacing w:after="120"/>
        <w:jc w:val="center"/>
        <w:rPr>
          <w:rFonts w:cs="Arial"/>
          <w:b/>
          <w:sz w:val="24"/>
          <w:szCs w:val="24"/>
        </w:rPr>
      </w:pPr>
      <w:bookmarkStart w:id="0" w:name="_Hlk218676985"/>
      <w:r w:rsidRPr="002501C2">
        <w:rPr>
          <w:rFonts w:cs="Arial"/>
          <w:b/>
          <w:sz w:val="24"/>
          <w:szCs w:val="24"/>
        </w:rPr>
        <w:t xml:space="preserve">Communities </w:t>
      </w:r>
      <w:r w:rsidR="001D496E" w:rsidRPr="002501C2">
        <w:rPr>
          <w:rFonts w:cs="Arial"/>
          <w:b/>
          <w:sz w:val="24"/>
          <w:szCs w:val="24"/>
        </w:rPr>
        <w:t xml:space="preserve">Community Benefit Fund for the Fauldhouse </w:t>
      </w:r>
      <w:r w:rsidR="000B31C9">
        <w:rPr>
          <w:rFonts w:cs="Arial"/>
          <w:b/>
          <w:sz w:val="24"/>
          <w:szCs w:val="24"/>
        </w:rPr>
        <w:t>and</w:t>
      </w:r>
      <w:r w:rsidR="00644D35" w:rsidRPr="002501C2">
        <w:rPr>
          <w:rFonts w:cs="Arial"/>
          <w:b/>
          <w:sz w:val="24"/>
          <w:szCs w:val="24"/>
        </w:rPr>
        <w:t xml:space="preserve"> </w:t>
      </w:r>
      <w:proofErr w:type="spellStart"/>
      <w:r w:rsidR="00644D35" w:rsidRPr="002501C2">
        <w:rPr>
          <w:rFonts w:cs="Arial"/>
          <w:b/>
          <w:sz w:val="24"/>
          <w:szCs w:val="24"/>
        </w:rPr>
        <w:t>Breich</w:t>
      </w:r>
      <w:proofErr w:type="spellEnd"/>
      <w:r w:rsidR="00644D35" w:rsidRPr="002501C2">
        <w:rPr>
          <w:rFonts w:cs="Arial"/>
          <w:b/>
          <w:sz w:val="24"/>
          <w:szCs w:val="24"/>
        </w:rPr>
        <w:t xml:space="preserve"> Valley</w:t>
      </w:r>
      <w:bookmarkEnd w:id="0"/>
    </w:p>
    <w:p w14:paraId="73F4E8F9" w14:textId="1E86A4D4" w:rsidR="001D496E" w:rsidRPr="00C737FB" w:rsidRDefault="002A4A7A" w:rsidP="00472DBC">
      <w:pPr>
        <w:pStyle w:val="BodyText"/>
        <w:spacing w:before="120"/>
        <w:jc w:val="center"/>
        <w:rPr>
          <w:rFonts w:ascii="Impact" w:hAnsi="Impact" w:cs="Arial"/>
          <w:bCs/>
          <w:sz w:val="44"/>
          <w:szCs w:val="44"/>
        </w:rPr>
      </w:pPr>
      <w:r w:rsidRPr="00C737FB">
        <w:rPr>
          <w:rFonts w:ascii="Impact" w:hAnsi="Impact" w:cs="Arial"/>
          <w:bCs/>
          <w:sz w:val="44"/>
          <w:szCs w:val="44"/>
        </w:rPr>
        <w:t>Small Grants</w:t>
      </w:r>
      <w:r w:rsidR="001658E6" w:rsidRPr="00C737FB">
        <w:rPr>
          <w:rFonts w:ascii="Impact" w:hAnsi="Impact" w:cs="Arial"/>
          <w:bCs/>
          <w:sz w:val="44"/>
          <w:szCs w:val="44"/>
        </w:rPr>
        <w:t xml:space="preserve"> </w:t>
      </w:r>
      <w:r w:rsidR="001D496E" w:rsidRPr="00C737FB">
        <w:rPr>
          <w:rFonts w:ascii="Impact" w:hAnsi="Impact" w:cs="Arial"/>
          <w:bCs/>
          <w:sz w:val="44"/>
          <w:szCs w:val="44"/>
        </w:rPr>
        <w:t>Funding Criteria</w:t>
      </w:r>
      <w:r w:rsidR="00CC051D" w:rsidRPr="00C737FB">
        <w:rPr>
          <w:rFonts w:ascii="Impact" w:hAnsi="Impact" w:cs="Arial"/>
          <w:bCs/>
          <w:sz w:val="44"/>
          <w:szCs w:val="44"/>
        </w:rPr>
        <w:t xml:space="preserve"> 202</w:t>
      </w:r>
      <w:r w:rsidR="002501C2" w:rsidRPr="00C737FB">
        <w:rPr>
          <w:rFonts w:ascii="Impact" w:hAnsi="Impact" w:cs="Arial"/>
          <w:bCs/>
          <w:sz w:val="44"/>
          <w:szCs w:val="44"/>
        </w:rPr>
        <w:t>6/27</w:t>
      </w:r>
    </w:p>
    <w:p w14:paraId="50D35912" w14:textId="77777777" w:rsidR="002501C2" w:rsidRPr="00A07D0E" w:rsidRDefault="002501C2" w:rsidP="001D496E">
      <w:pPr>
        <w:pStyle w:val="BodyText"/>
        <w:jc w:val="center"/>
        <w:rPr>
          <w:rFonts w:cs="Arial"/>
          <w:b/>
          <w:sz w:val="36"/>
          <w:szCs w:val="36"/>
        </w:rPr>
      </w:pPr>
    </w:p>
    <w:p w14:paraId="75267394" w14:textId="77777777" w:rsidR="00A500DC" w:rsidRDefault="00A500DC" w:rsidP="000B31C9">
      <w:pPr>
        <w:pStyle w:val="BodyText"/>
        <w:rPr>
          <w:rFonts w:cs="Arial"/>
          <w:b/>
          <w:sz w:val="28"/>
          <w:szCs w:val="28"/>
        </w:rPr>
      </w:pPr>
    </w:p>
    <w:p w14:paraId="159A8E06" w14:textId="2E7C6474" w:rsidR="001D496E" w:rsidRPr="00A500DC" w:rsidRDefault="001D496E" w:rsidP="00472DBC">
      <w:pPr>
        <w:pStyle w:val="BodyText"/>
        <w:rPr>
          <w:rFonts w:cs="Arial"/>
          <w:b/>
          <w:sz w:val="28"/>
          <w:szCs w:val="28"/>
        </w:rPr>
      </w:pPr>
      <w:r w:rsidRPr="00A500DC">
        <w:rPr>
          <w:rFonts w:cs="Arial"/>
          <w:b/>
          <w:sz w:val="28"/>
          <w:szCs w:val="28"/>
        </w:rPr>
        <w:t>Fund Overview</w:t>
      </w:r>
    </w:p>
    <w:p w14:paraId="65472F81" w14:textId="77777777" w:rsidR="001D496E" w:rsidRPr="003A354A" w:rsidRDefault="001D496E" w:rsidP="00472DBC">
      <w:pPr>
        <w:pStyle w:val="BodyText"/>
        <w:rPr>
          <w:rFonts w:cs="Arial"/>
          <w:sz w:val="12"/>
          <w:szCs w:val="12"/>
        </w:rPr>
      </w:pPr>
    </w:p>
    <w:p w14:paraId="76F651F5" w14:textId="5191EE98" w:rsidR="001D496E" w:rsidRPr="00472DBC" w:rsidRDefault="001D496E" w:rsidP="00472DBC">
      <w:pPr>
        <w:pStyle w:val="BodyText"/>
        <w:rPr>
          <w:rFonts w:cs="Arial"/>
          <w:b/>
          <w:bCs/>
          <w:szCs w:val="22"/>
        </w:rPr>
      </w:pPr>
      <w:r w:rsidRPr="00472DBC">
        <w:rPr>
          <w:rFonts w:cs="Arial"/>
          <w:b/>
          <w:bCs/>
          <w:szCs w:val="22"/>
        </w:rPr>
        <w:t>The REG Power Management is committed to providing a Community Benefit Fund for good causes local to the Wind Farm.</w:t>
      </w:r>
    </w:p>
    <w:p w14:paraId="62B32BFF" w14:textId="77777777" w:rsidR="001D496E" w:rsidRPr="00472DBC" w:rsidRDefault="001D496E" w:rsidP="00472DBC">
      <w:pPr>
        <w:pStyle w:val="BodyText"/>
        <w:rPr>
          <w:rFonts w:cs="Arial"/>
          <w:b/>
          <w:bCs/>
          <w:szCs w:val="22"/>
        </w:rPr>
      </w:pPr>
    </w:p>
    <w:p w14:paraId="0EABC98E" w14:textId="018872AC" w:rsidR="001D496E" w:rsidRPr="00472DBC" w:rsidRDefault="00650CDF" w:rsidP="00472DBC">
      <w:pPr>
        <w:pStyle w:val="BodyText"/>
        <w:rPr>
          <w:rFonts w:cs="Arial"/>
          <w:szCs w:val="22"/>
        </w:rPr>
      </w:pPr>
      <w:r w:rsidRPr="00472DBC">
        <w:rPr>
          <w:rFonts w:cs="Arial"/>
          <w:szCs w:val="22"/>
        </w:rPr>
        <w:t>Local</w:t>
      </w:r>
      <w:r w:rsidR="001D496E" w:rsidRPr="00472DBC">
        <w:rPr>
          <w:rFonts w:cs="Arial"/>
          <w:szCs w:val="22"/>
        </w:rPr>
        <w:t xml:space="preserve"> groups will be able to apply for grants between £250 and £</w:t>
      </w:r>
      <w:r w:rsidR="00893378" w:rsidRPr="00472DBC">
        <w:rPr>
          <w:rFonts w:cs="Arial"/>
          <w:szCs w:val="22"/>
        </w:rPr>
        <w:t>2</w:t>
      </w:r>
      <w:r w:rsidR="001D496E" w:rsidRPr="00472DBC">
        <w:rPr>
          <w:rFonts w:cs="Arial"/>
          <w:szCs w:val="22"/>
        </w:rPr>
        <w:t>,000. An additional application round may be established if all available funding is not allocated in any annual round.</w:t>
      </w:r>
    </w:p>
    <w:p w14:paraId="6F5FFFFC" w14:textId="77777777" w:rsidR="001D496E" w:rsidRDefault="001D496E" w:rsidP="001D496E">
      <w:pPr>
        <w:pStyle w:val="BodyText"/>
        <w:rPr>
          <w:rFonts w:cs="Arial"/>
          <w:szCs w:val="22"/>
        </w:rPr>
      </w:pPr>
    </w:p>
    <w:p w14:paraId="50EC579D" w14:textId="1A897C46" w:rsidR="001D496E" w:rsidRPr="00A500DC" w:rsidRDefault="001D496E" w:rsidP="000B31C9">
      <w:pPr>
        <w:pStyle w:val="BodyText"/>
        <w:rPr>
          <w:rFonts w:cs="Arial"/>
          <w:b/>
          <w:sz w:val="28"/>
          <w:szCs w:val="28"/>
        </w:rPr>
      </w:pPr>
      <w:r w:rsidRPr="00A500DC">
        <w:rPr>
          <w:rFonts w:cs="Arial"/>
          <w:b/>
          <w:sz w:val="28"/>
          <w:szCs w:val="28"/>
        </w:rPr>
        <w:t>Project Purpose</w:t>
      </w:r>
    </w:p>
    <w:p w14:paraId="15E9FFA0" w14:textId="77777777" w:rsidR="001D496E" w:rsidRPr="003A354A" w:rsidRDefault="001D496E" w:rsidP="001D496E">
      <w:pPr>
        <w:pStyle w:val="Default"/>
        <w:rPr>
          <w:rFonts w:ascii="Arial" w:hAnsi="Arial" w:cs="Arial"/>
          <w:sz w:val="12"/>
          <w:szCs w:val="12"/>
        </w:rPr>
      </w:pPr>
    </w:p>
    <w:p w14:paraId="4D004B94" w14:textId="1BDE6D2A" w:rsidR="001D496E" w:rsidRDefault="001D496E" w:rsidP="001D496E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 Fund is open to any </w:t>
      </w:r>
      <w:r w:rsidRPr="003A354A">
        <w:rPr>
          <w:rFonts w:ascii="Arial" w:hAnsi="Arial" w:cs="Arial"/>
        </w:rPr>
        <w:t>community project</w:t>
      </w:r>
      <w:r>
        <w:rPr>
          <w:rFonts w:ascii="Arial" w:hAnsi="Arial" w:cs="Arial"/>
        </w:rPr>
        <w:t xml:space="preserve"> which is </w:t>
      </w:r>
      <w:r w:rsidRPr="003A354A">
        <w:rPr>
          <w:rFonts w:ascii="Arial" w:hAnsi="Arial" w:cs="Arial"/>
        </w:rPr>
        <w:t>for the benefit of residents of the local area</w:t>
      </w:r>
      <w:r>
        <w:rPr>
          <w:rFonts w:ascii="Arial" w:hAnsi="Arial" w:cs="Arial"/>
        </w:rPr>
        <w:t>.</w:t>
      </w:r>
      <w:r w:rsidR="00644D35">
        <w:rPr>
          <w:rFonts w:ascii="Arial" w:hAnsi="Arial" w:cs="Arial"/>
        </w:rPr>
        <w:t xml:space="preserve"> Namely Fauldhouse </w:t>
      </w:r>
      <w:bookmarkStart w:id="1" w:name="_Hlk500412450"/>
      <w:r w:rsidR="00BD1C8E">
        <w:rPr>
          <w:rFonts w:ascii="Arial" w:hAnsi="Arial" w:cs="Arial"/>
        </w:rPr>
        <w:t xml:space="preserve">and wider </w:t>
      </w:r>
      <w:proofErr w:type="spellStart"/>
      <w:r w:rsidR="00644D35">
        <w:rPr>
          <w:rFonts w:ascii="Arial" w:hAnsi="Arial" w:cs="Arial"/>
        </w:rPr>
        <w:t>Breich</w:t>
      </w:r>
      <w:proofErr w:type="spellEnd"/>
      <w:r w:rsidR="00644D35">
        <w:rPr>
          <w:rFonts w:ascii="Arial" w:hAnsi="Arial" w:cs="Arial"/>
        </w:rPr>
        <w:t xml:space="preserve"> Valley </w:t>
      </w:r>
      <w:r w:rsidR="00BD1C8E">
        <w:rPr>
          <w:rFonts w:ascii="Arial" w:hAnsi="Arial" w:cs="Arial"/>
        </w:rPr>
        <w:t>villages</w:t>
      </w:r>
      <w:bookmarkEnd w:id="1"/>
      <w:r w:rsidR="00BD1C8E">
        <w:rPr>
          <w:rFonts w:ascii="Arial" w:hAnsi="Arial" w:cs="Arial"/>
        </w:rPr>
        <w:t>.</w:t>
      </w:r>
    </w:p>
    <w:p w14:paraId="1F605E49" w14:textId="77777777" w:rsidR="001D496E" w:rsidRPr="00E14227" w:rsidRDefault="001D496E" w:rsidP="001D496E">
      <w:pPr>
        <w:pStyle w:val="BodyText"/>
        <w:rPr>
          <w:rFonts w:cs="Arial"/>
          <w:b/>
          <w:szCs w:val="22"/>
        </w:rPr>
      </w:pPr>
    </w:p>
    <w:p w14:paraId="4F0DD11D" w14:textId="5B5D1475" w:rsidR="001D496E" w:rsidRPr="00A500DC" w:rsidRDefault="001D496E" w:rsidP="001D496E">
      <w:pPr>
        <w:pStyle w:val="BodyText"/>
        <w:rPr>
          <w:rFonts w:cs="Arial"/>
          <w:b/>
          <w:sz w:val="28"/>
          <w:szCs w:val="28"/>
        </w:rPr>
      </w:pPr>
      <w:r w:rsidRPr="00A500DC">
        <w:rPr>
          <w:rFonts w:cs="Arial"/>
          <w:b/>
          <w:sz w:val="28"/>
          <w:szCs w:val="28"/>
        </w:rPr>
        <w:t>Project Location</w:t>
      </w:r>
    </w:p>
    <w:p w14:paraId="601C2105" w14:textId="77777777" w:rsidR="001D496E" w:rsidRPr="00F14970" w:rsidRDefault="001D496E" w:rsidP="001D496E">
      <w:pPr>
        <w:pStyle w:val="BodyText"/>
        <w:rPr>
          <w:rFonts w:cs="Arial"/>
          <w:sz w:val="12"/>
          <w:szCs w:val="12"/>
        </w:rPr>
      </w:pPr>
    </w:p>
    <w:p w14:paraId="322BB4B4" w14:textId="2DA93B6D" w:rsidR="001D496E" w:rsidRDefault="001D496E" w:rsidP="001D496E">
      <w:pPr>
        <w:pStyle w:val="BodyText"/>
        <w:rPr>
          <w:rFonts w:cs="Arial"/>
          <w:szCs w:val="22"/>
        </w:rPr>
      </w:pPr>
      <w:r w:rsidRPr="008A4C9A">
        <w:rPr>
          <w:rFonts w:cs="Arial"/>
          <w:szCs w:val="22"/>
        </w:rPr>
        <w:t xml:space="preserve">Projects for which grants are requested must be located </w:t>
      </w:r>
      <w:r>
        <w:rPr>
          <w:rFonts w:cs="Arial"/>
          <w:szCs w:val="22"/>
        </w:rPr>
        <w:t>within Fauldhouse</w:t>
      </w:r>
      <w:r w:rsidR="00644D35">
        <w:rPr>
          <w:rFonts w:cs="Arial"/>
          <w:szCs w:val="22"/>
        </w:rPr>
        <w:t xml:space="preserve"> </w:t>
      </w:r>
      <w:r w:rsidR="008F0F8F">
        <w:rPr>
          <w:rFonts w:cs="Arial"/>
        </w:rPr>
        <w:t>and t</w:t>
      </w:r>
      <w:r w:rsidR="00644D35">
        <w:rPr>
          <w:rFonts w:cs="Arial"/>
        </w:rPr>
        <w:t xml:space="preserve">he </w:t>
      </w:r>
      <w:proofErr w:type="spellStart"/>
      <w:r w:rsidR="00644D35">
        <w:rPr>
          <w:rFonts w:cs="Arial"/>
        </w:rPr>
        <w:t>Breich</w:t>
      </w:r>
      <w:proofErr w:type="spellEnd"/>
      <w:r w:rsidR="00644D35">
        <w:rPr>
          <w:rFonts w:cs="Arial"/>
        </w:rPr>
        <w:t xml:space="preserve"> Valley Communities</w:t>
      </w:r>
      <w:r w:rsidR="00BD1C8E">
        <w:rPr>
          <w:rFonts w:cs="Arial"/>
        </w:rPr>
        <w:t>.</w:t>
      </w:r>
    </w:p>
    <w:p w14:paraId="51C028D8" w14:textId="77777777" w:rsidR="001D496E" w:rsidRPr="00E14227" w:rsidRDefault="001D496E" w:rsidP="001D496E">
      <w:pPr>
        <w:pStyle w:val="BodyText"/>
        <w:rPr>
          <w:rFonts w:cs="Arial"/>
          <w:szCs w:val="22"/>
        </w:rPr>
      </w:pPr>
    </w:p>
    <w:p w14:paraId="53EBBCEF" w14:textId="1CE6A48C" w:rsidR="001D496E" w:rsidRPr="00A500DC" w:rsidRDefault="001D496E" w:rsidP="001D496E">
      <w:pPr>
        <w:pStyle w:val="BodyText"/>
        <w:widowControl w:val="0"/>
        <w:rPr>
          <w:rFonts w:cs="Arial"/>
          <w:b/>
          <w:sz w:val="28"/>
          <w:szCs w:val="28"/>
        </w:rPr>
      </w:pPr>
      <w:r w:rsidRPr="00A500DC">
        <w:rPr>
          <w:rFonts w:cs="Arial"/>
          <w:b/>
          <w:sz w:val="28"/>
          <w:szCs w:val="28"/>
        </w:rPr>
        <w:t>Eligible Organisations</w:t>
      </w:r>
    </w:p>
    <w:p w14:paraId="15BC0E32" w14:textId="77777777" w:rsidR="001D496E" w:rsidRPr="00E14227" w:rsidRDefault="001D496E" w:rsidP="001D496E">
      <w:pPr>
        <w:pStyle w:val="BodyText"/>
        <w:widowControl w:val="0"/>
        <w:rPr>
          <w:rFonts w:cs="Arial"/>
          <w:b/>
          <w:sz w:val="12"/>
          <w:szCs w:val="12"/>
        </w:rPr>
      </w:pPr>
    </w:p>
    <w:p w14:paraId="48B89C05" w14:textId="60D70042" w:rsidR="001D496E" w:rsidRPr="003A354A" w:rsidRDefault="001D496E" w:rsidP="00706317">
      <w:pPr>
        <w:pStyle w:val="ListParagraph"/>
        <w:widowControl w:val="0"/>
        <w:spacing w:after="120"/>
        <w:ind w:left="0"/>
        <w:rPr>
          <w:rFonts w:ascii="Arial" w:hAnsi="Arial" w:cs="Arial"/>
        </w:rPr>
      </w:pPr>
      <w:r w:rsidRPr="003A354A">
        <w:rPr>
          <w:rFonts w:ascii="Arial" w:hAnsi="Arial" w:cs="Arial"/>
        </w:rPr>
        <w:t>Eligible Organisations, who can apply for funding include</w:t>
      </w:r>
      <w:r w:rsidR="008F0F8F">
        <w:rPr>
          <w:rFonts w:ascii="Arial" w:hAnsi="Arial" w:cs="Arial"/>
        </w:rPr>
        <w:t>:</w:t>
      </w:r>
      <w:r w:rsidRPr="003A354A">
        <w:rPr>
          <w:rFonts w:ascii="Arial" w:hAnsi="Arial" w:cs="Arial"/>
        </w:rPr>
        <w:t xml:space="preserve"> </w:t>
      </w:r>
    </w:p>
    <w:p w14:paraId="3A8F3F5A" w14:textId="75A07C41" w:rsidR="001D496E" w:rsidRDefault="001D496E" w:rsidP="00706317">
      <w:pPr>
        <w:pStyle w:val="ListParagraph"/>
        <w:numPr>
          <w:ilvl w:val="0"/>
          <w:numId w:val="3"/>
        </w:numPr>
        <w:spacing w:after="12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Charities, V</w:t>
      </w:r>
      <w:r w:rsidRPr="008E2AEE">
        <w:rPr>
          <w:rFonts w:ascii="Arial" w:hAnsi="Arial" w:cs="Arial"/>
        </w:rPr>
        <w:t>oluntary</w:t>
      </w:r>
      <w:r>
        <w:rPr>
          <w:rFonts w:ascii="Arial" w:hAnsi="Arial" w:cs="Arial"/>
        </w:rPr>
        <w:t xml:space="preserve"> Organisations, Community G</w:t>
      </w:r>
      <w:r w:rsidRPr="008E2AEE">
        <w:rPr>
          <w:rFonts w:ascii="Arial" w:hAnsi="Arial" w:cs="Arial"/>
        </w:rPr>
        <w:t>roups</w:t>
      </w:r>
    </w:p>
    <w:p w14:paraId="247E3916" w14:textId="77777777" w:rsidR="001D496E" w:rsidRDefault="001D496E" w:rsidP="001D496E">
      <w:pPr>
        <w:autoSpaceDE w:val="0"/>
        <w:autoSpaceDN w:val="0"/>
        <w:adjustRightInd w:val="0"/>
        <w:spacing w:after="0" w:line="240" w:lineRule="auto"/>
        <w:rPr>
          <w:lang w:eastAsia="en-GB"/>
        </w:rPr>
      </w:pPr>
      <w:r w:rsidRPr="003A354A">
        <w:rPr>
          <w:lang w:eastAsia="en-GB"/>
        </w:rPr>
        <w:t>Applicants need to have a written constitution, a set of rules, or a governing document and will need to have a bank or building society account with a minimum of two signatories in place before applying for a grant.</w:t>
      </w:r>
    </w:p>
    <w:p w14:paraId="1960CF38" w14:textId="77777777" w:rsidR="001D496E" w:rsidRPr="008A4C9A" w:rsidRDefault="001D496E" w:rsidP="001D496E">
      <w:pPr>
        <w:autoSpaceDE w:val="0"/>
        <w:autoSpaceDN w:val="0"/>
        <w:adjustRightInd w:val="0"/>
        <w:spacing w:after="0" w:line="240" w:lineRule="auto"/>
        <w:rPr>
          <w:lang w:eastAsia="en-GB"/>
        </w:rPr>
      </w:pPr>
    </w:p>
    <w:p w14:paraId="31FA6319" w14:textId="77777777" w:rsidR="001D496E" w:rsidRPr="00A500DC" w:rsidRDefault="001D496E" w:rsidP="001D496E">
      <w:pPr>
        <w:pStyle w:val="BodyText"/>
        <w:rPr>
          <w:rFonts w:cs="Arial"/>
          <w:b/>
          <w:sz w:val="28"/>
          <w:szCs w:val="28"/>
        </w:rPr>
      </w:pPr>
      <w:r w:rsidRPr="00A500DC">
        <w:rPr>
          <w:rFonts w:cs="Arial"/>
          <w:b/>
          <w:sz w:val="28"/>
          <w:szCs w:val="28"/>
        </w:rPr>
        <w:t>Exclusions</w:t>
      </w:r>
    </w:p>
    <w:p w14:paraId="6DB8820F" w14:textId="77777777" w:rsidR="001D496E" w:rsidRPr="003A354A" w:rsidRDefault="001D496E" w:rsidP="001D496E">
      <w:pPr>
        <w:pStyle w:val="BodyText"/>
        <w:rPr>
          <w:rFonts w:cs="Arial"/>
          <w:sz w:val="12"/>
          <w:szCs w:val="12"/>
        </w:rPr>
      </w:pPr>
    </w:p>
    <w:p w14:paraId="5A625A55" w14:textId="1F131051" w:rsidR="001D496E" w:rsidRDefault="001D496E" w:rsidP="001D496E">
      <w:pPr>
        <w:pStyle w:val="BodyText"/>
        <w:rPr>
          <w:rFonts w:cs="Arial"/>
          <w:szCs w:val="22"/>
        </w:rPr>
      </w:pPr>
      <w:r w:rsidRPr="003A354A">
        <w:rPr>
          <w:rFonts w:cs="Arial"/>
          <w:szCs w:val="22"/>
        </w:rPr>
        <w:t xml:space="preserve">Grants will </w:t>
      </w:r>
      <w:r w:rsidRPr="003A354A">
        <w:rPr>
          <w:rFonts w:cs="Arial"/>
          <w:b/>
          <w:szCs w:val="22"/>
        </w:rPr>
        <w:t>not</w:t>
      </w:r>
      <w:r w:rsidRPr="003A354A">
        <w:rPr>
          <w:rFonts w:cs="Arial"/>
          <w:szCs w:val="22"/>
        </w:rPr>
        <w:t xml:space="preserve"> be available for</w:t>
      </w:r>
      <w:r w:rsidR="008F0F8F">
        <w:rPr>
          <w:rFonts w:cs="Arial"/>
          <w:szCs w:val="22"/>
        </w:rPr>
        <w:t>:</w:t>
      </w:r>
    </w:p>
    <w:p w14:paraId="0A30437A" w14:textId="77777777" w:rsidR="001D496E" w:rsidRPr="003A354A" w:rsidRDefault="001D496E" w:rsidP="001D496E">
      <w:pPr>
        <w:pStyle w:val="BodyText"/>
        <w:rPr>
          <w:rFonts w:cs="Arial"/>
          <w:szCs w:val="22"/>
        </w:rPr>
      </w:pPr>
    </w:p>
    <w:p w14:paraId="78995591" w14:textId="15AAF84C" w:rsidR="001D496E" w:rsidRPr="003A354A" w:rsidRDefault="001D496E" w:rsidP="001D496E">
      <w:pPr>
        <w:pStyle w:val="ListParagraph"/>
        <w:numPr>
          <w:ilvl w:val="0"/>
          <w:numId w:val="4"/>
        </w:numPr>
        <w:spacing w:after="120"/>
        <w:rPr>
          <w:rFonts w:ascii="Arial" w:hAnsi="Arial" w:cs="Arial"/>
        </w:rPr>
      </w:pPr>
      <w:r w:rsidRPr="003A354A">
        <w:rPr>
          <w:rFonts w:ascii="Arial" w:hAnsi="Arial" w:cs="Arial"/>
        </w:rPr>
        <w:t>Commercial organisations</w:t>
      </w:r>
    </w:p>
    <w:p w14:paraId="2D7488FF" w14:textId="253EDE8D" w:rsidR="001D496E" w:rsidRPr="003A354A" w:rsidRDefault="001D496E" w:rsidP="001D496E">
      <w:pPr>
        <w:pStyle w:val="ListParagraph"/>
        <w:numPr>
          <w:ilvl w:val="0"/>
          <w:numId w:val="4"/>
        </w:numPr>
        <w:spacing w:after="120"/>
        <w:rPr>
          <w:rFonts w:ascii="Arial" w:hAnsi="Arial" w:cs="Arial"/>
        </w:rPr>
      </w:pPr>
      <w:r w:rsidRPr="003A354A">
        <w:rPr>
          <w:rFonts w:ascii="Arial" w:hAnsi="Arial" w:cs="Arial"/>
        </w:rPr>
        <w:t>Private membership</w:t>
      </w:r>
      <w:r>
        <w:rPr>
          <w:rFonts w:ascii="Arial" w:hAnsi="Arial" w:cs="Arial"/>
        </w:rPr>
        <w:t>-</w:t>
      </w:r>
      <w:r w:rsidRPr="003A354A">
        <w:rPr>
          <w:rFonts w:ascii="Arial" w:hAnsi="Arial" w:cs="Arial"/>
        </w:rPr>
        <w:t xml:space="preserve">based sports clubs and facilities unless membership is open to the </w:t>
      </w:r>
      <w:r w:rsidR="008F0F8F" w:rsidRPr="003A354A">
        <w:rPr>
          <w:rFonts w:ascii="Arial" w:hAnsi="Arial" w:cs="Arial"/>
        </w:rPr>
        <w:t>public</w:t>
      </w:r>
      <w:r w:rsidRPr="003A354A">
        <w:rPr>
          <w:rFonts w:ascii="Arial" w:hAnsi="Arial" w:cs="Arial"/>
        </w:rPr>
        <w:t xml:space="preserve"> without undue restriction (</w:t>
      </w:r>
      <w:r w:rsidR="00571899" w:rsidRPr="003A354A">
        <w:rPr>
          <w:rFonts w:ascii="Arial" w:hAnsi="Arial" w:cs="Arial"/>
        </w:rPr>
        <w:t>e.g.</w:t>
      </w:r>
      <w:r w:rsidRPr="003A354A">
        <w:rPr>
          <w:rFonts w:ascii="Arial" w:hAnsi="Arial" w:cs="Arial"/>
        </w:rPr>
        <w:t xml:space="preserve"> not membership by nomination organisations) </w:t>
      </w:r>
    </w:p>
    <w:p w14:paraId="6AB87913" w14:textId="77777777" w:rsidR="001D496E" w:rsidRDefault="001D496E" w:rsidP="001D496E">
      <w:pPr>
        <w:pStyle w:val="ListParagraph"/>
        <w:numPr>
          <w:ilvl w:val="0"/>
          <w:numId w:val="4"/>
        </w:numPr>
        <w:spacing w:after="120"/>
        <w:rPr>
          <w:rFonts w:ascii="Arial" w:hAnsi="Arial" w:cs="Arial"/>
        </w:rPr>
      </w:pPr>
      <w:r w:rsidRPr="001D496E">
        <w:rPr>
          <w:rFonts w:ascii="Arial" w:hAnsi="Arial" w:cs="Arial"/>
        </w:rPr>
        <w:t xml:space="preserve">Projects that only benefit one individual </w:t>
      </w:r>
    </w:p>
    <w:p w14:paraId="4209B0F5" w14:textId="5B0446C3" w:rsidR="001D496E" w:rsidRPr="001D496E" w:rsidRDefault="001D496E" w:rsidP="001D496E">
      <w:pPr>
        <w:pStyle w:val="ListParagraph"/>
        <w:numPr>
          <w:ilvl w:val="0"/>
          <w:numId w:val="4"/>
        </w:numPr>
        <w:spacing w:after="120"/>
        <w:rPr>
          <w:rFonts w:ascii="Arial" w:hAnsi="Arial" w:cs="Arial"/>
        </w:rPr>
      </w:pPr>
      <w:r w:rsidRPr="001D496E">
        <w:rPr>
          <w:rFonts w:ascii="Arial" w:hAnsi="Arial" w:cs="Arial"/>
        </w:rPr>
        <w:t xml:space="preserve">Projects that </w:t>
      </w:r>
      <w:r>
        <w:rPr>
          <w:rFonts w:ascii="Arial" w:hAnsi="Arial" w:cs="Arial"/>
        </w:rPr>
        <w:t xml:space="preserve">are </w:t>
      </w:r>
      <w:r w:rsidRPr="001D496E">
        <w:rPr>
          <w:rFonts w:ascii="Arial" w:hAnsi="Arial" w:cs="Arial"/>
        </w:rPr>
        <w:t>religious in focus, or that support a p</w:t>
      </w:r>
      <w:r w:rsidR="00F3516C">
        <w:rPr>
          <w:rFonts w:ascii="Arial" w:hAnsi="Arial" w:cs="Arial"/>
        </w:rPr>
        <w:t xml:space="preserve">olitical party, a </w:t>
      </w:r>
      <w:r w:rsidRPr="001D496E">
        <w:rPr>
          <w:rFonts w:ascii="Arial" w:hAnsi="Arial" w:cs="Arial"/>
        </w:rPr>
        <w:t>political campaign or cause</w:t>
      </w:r>
    </w:p>
    <w:p w14:paraId="08D685CB" w14:textId="3A2B338E" w:rsidR="001D496E" w:rsidRPr="003A354A" w:rsidRDefault="001D496E" w:rsidP="001D496E">
      <w:pPr>
        <w:pStyle w:val="ListParagraph"/>
        <w:numPr>
          <w:ilvl w:val="0"/>
          <w:numId w:val="4"/>
        </w:numPr>
        <w:spacing w:after="120"/>
        <w:rPr>
          <w:rFonts w:ascii="Arial" w:hAnsi="Arial" w:cs="Arial"/>
        </w:rPr>
      </w:pPr>
      <w:r w:rsidRPr="003A354A">
        <w:rPr>
          <w:rFonts w:ascii="Arial" w:hAnsi="Arial" w:cs="Arial"/>
        </w:rPr>
        <w:t>Funding core costs in organisations</w:t>
      </w:r>
      <w:r>
        <w:rPr>
          <w:rFonts w:ascii="Arial" w:hAnsi="Arial" w:cs="Arial"/>
        </w:rPr>
        <w:t>,</w:t>
      </w:r>
      <w:r w:rsidRPr="003A354A">
        <w:rPr>
          <w:rFonts w:ascii="Arial" w:hAnsi="Arial" w:cs="Arial"/>
        </w:rPr>
        <w:t xml:space="preserve"> </w:t>
      </w:r>
      <w:proofErr w:type="spellStart"/>
      <w:r w:rsidR="006A0758" w:rsidRPr="003A354A">
        <w:rPr>
          <w:rFonts w:ascii="Arial" w:hAnsi="Arial" w:cs="Arial"/>
        </w:rPr>
        <w:t>eg</w:t>
      </w:r>
      <w:proofErr w:type="spellEnd"/>
      <w:r w:rsidRPr="003A354A">
        <w:rPr>
          <w:rFonts w:ascii="Arial" w:hAnsi="Arial" w:cs="Arial"/>
        </w:rPr>
        <w:t xml:space="preserve"> running costs, admin</w:t>
      </w:r>
      <w:r>
        <w:rPr>
          <w:rFonts w:ascii="Arial" w:hAnsi="Arial" w:cs="Arial"/>
        </w:rPr>
        <w:t>istration</w:t>
      </w:r>
      <w:r w:rsidRPr="003A354A">
        <w:rPr>
          <w:rFonts w:ascii="Arial" w:hAnsi="Arial" w:cs="Arial"/>
        </w:rPr>
        <w:t xml:space="preserve"> costs, building rental costs etc.</w:t>
      </w:r>
    </w:p>
    <w:p w14:paraId="28D7679B" w14:textId="6FB1A48F" w:rsidR="001D496E" w:rsidRPr="003A354A" w:rsidRDefault="001D496E" w:rsidP="001D496E">
      <w:pPr>
        <w:pStyle w:val="ListParagraph"/>
        <w:numPr>
          <w:ilvl w:val="0"/>
          <w:numId w:val="4"/>
        </w:numPr>
        <w:spacing w:after="120"/>
        <w:rPr>
          <w:rFonts w:ascii="Arial" w:hAnsi="Arial" w:cs="Arial"/>
        </w:rPr>
      </w:pPr>
      <w:r w:rsidRPr="003A354A">
        <w:rPr>
          <w:rFonts w:ascii="Arial" w:hAnsi="Arial" w:cs="Arial"/>
        </w:rPr>
        <w:t>Retrospective funding</w:t>
      </w:r>
      <w:r>
        <w:rPr>
          <w:rFonts w:ascii="Arial" w:hAnsi="Arial" w:cs="Arial"/>
        </w:rPr>
        <w:t>,</w:t>
      </w:r>
      <w:r w:rsidRPr="003A354A">
        <w:rPr>
          <w:rFonts w:ascii="Arial" w:hAnsi="Arial" w:cs="Arial"/>
        </w:rPr>
        <w:t xml:space="preserve"> </w:t>
      </w:r>
      <w:proofErr w:type="spellStart"/>
      <w:r w:rsidR="006A0758" w:rsidRPr="003A354A">
        <w:rPr>
          <w:rFonts w:ascii="Arial" w:hAnsi="Arial" w:cs="Arial"/>
        </w:rPr>
        <w:t>ie</w:t>
      </w:r>
      <w:proofErr w:type="spellEnd"/>
      <w:r w:rsidRPr="003A354A">
        <w:rPr>
          <w:rFonts w:ascii="Arial" w:hAnsi="Arial" w:cs="Arial"/>
        </w:rPr>
        <w:t xml:space="preserve"> projects that have already been completed, </w:t>
      </w:r>
      <w:r w:rsidR="006A0758" w:rsidRPr="003A354A">
        <w:rPr>
          <w:rFonts w:ascii="Arial" w:hAnsi="Arial" w:cs="Arial"/>
        </w:rPr>
        <w:t>whether</w:t>
      </w:r>
      <w:r w:rsidRPr="003A354A">
        <w:rPr>
          <w:rFonts w:ascii="Arial" w:hAnsi="Arial" w:cs="Arial"/>
        </w:rPr>
        <w:t xml:space="preserve"> already paid for</w:t>
      </w:r>
      <w:r w:rsidR="006A0758">
        <w:rPr>
          <w:rFonts w:ascii="Arial" w:hAnsi="Arial" w:cs="Arial"/>
        </w:rPr>
        <w:t xml:space="preserve"> or not</w:t>
      </w:r>
    </w:p>
    <w:p w14:paraId="6AAE7B40" w14:textId="11FDA12A" w:rsidR="001D496E" w:rsidRDefault="001D496E" w:rsidP="001D496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971EC">
        <w:rPr>
          <w:rFonts w:ascii="Arial" w:hAnsi="Arial" w:cs="Arial"/>
        </w:rPr>
        <w:t xml:space="preserve">Works </w:t>
      </w:r>
      <w:r>
        <w:rPr>
          <w:rFonts w:ascii="Arial" w:hAnsi="Arial" w:cs="Arial"/>
        </w:rPr>
        <w:t>that are</w:t>
      </w:r>
      <w:r w:rsidRPr="008971EC">
        <w:rPr>
          <w:rFonts w:ascii="Arial" w:hAnsi="Arial" w:cs="Arial"/>
        </w:rPr>
        <w:t xml:space="preserve"> a statutory duty, such as scheduled transport services</w:t>
      </w:r>
      <w:r>
        <w:rPr>
          <w:rFonts w:ascii="Arial" w:hAnsi="Arial" w:cs="Arial"/>
        </w:rPr>
        <w:t xml:space="preserve"> and</w:t>
      </w:r>
      <w:r w:rsidRPr="008971EC">
        <w:rPr>
          <w:rFonts w:ascii="Arial" w:hAnsi="Arial" w:cs="Arial"/>
        </w:rPr>
        <w:t xml:space="preserve"> works to public highways</w:t>
      </w:r>
    </w:p>
    <w:p w14:paraId="155D0768" w14:textId="77777777" w:rsidR="00246D68" w:rsidRDefault="00246D68" w:rsidP="00246D68">
      <w:pPr>
        <w:pStyle w:val="ListParagraph"/>
        <w:rPr>
          <w:rFonts w:ascii="Arial" w:hAnsi="Arial" w:cs="Arial"/>
        </w:rPr>
      </w:pPr>
    </w:p>
    <w:p w14:paraId="0CB32D43" w14:textId="37DD8481" w:rsidR="00E65AD4" w:rsidRDefault="00E65AD4" w:rsidP="001D496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Projects, groups or organisations who have </w:t>
      </w:r>
      <w:r w:rsidR="00057771">
        <w:rPr>
          <w:rFonts w:ascii="Arial" w:hAnsi="Arial" w:cs="Arial"/>
        </w:rPr>
        <w:t>received funding</w:t>
      </w:r>
      <w:r w:rsidR="00F62ECD">
        <w:rPr>
          <w:rFonts w:ascii="Arial" w:hAnsi="Arial" w:cs="Arial"/>
        </w:rPr>
        <w:t xml:space="preserve"> in previous </w:t>
      </w:r>
      <w:r w:rsidR="00246D68">
        <w:rPr>
          <w:rFonts w:ascii="Arial" w:hAnsi="Arial" w:cs="Arial"/>
        </w:rPr>
        <w:t>years but</w:t>
      </w:r>
      <w:r w:rsidR="00F62ECD">
        <w:rPr>
          <w:rFonts w:ascii="Arial" w:hAnsi="Arial" w:cs="Arial"/>
        </w:rPr>
        <w:t xml:space="preserve"> have not </w:t>
      </w:r>
      <w:r w:rsidR="00420B5B">
        <w:rPr>
          <w:rFonts w:ascii="Arial" w:hAnsi="Arial" w:cs="Arial"/>
        </w:rPr>
        <w:t>submitted monitoring and reporting</w:t>
      </w:r>
      <w:r w:rsidR="009F2C1B">
        <w:rPr>
          <w:rFonts w:ascii="Arial" w:hAnsi="Arial" w:cs="Arial"/>
        </w:rPr>
        <w:t xml:space="preserve"> are not eligible to apply</w:t>
      </w:r>
    </w:p>
    <w:p w14:paraId="42BB2D34" w14:textId="77777777" w:rsidR="001D496E" w:rsidRPr="008971EC" w:rsidRDefault="001D496E" w:rsidP="001D496E">
      <w:pPr>
        <w:pStyle w:val="ListParagraph"/>
        <w:ind w:left="0"/>
        <w:rPr>
          <w:rFonts w:ascii="Arial" w:hAnsi="Arial" w:cs="Arial"/>
          <w:sz w:val="12"/>
          <w:szCs w:val="12"/>
        </w:rPr>
      </w:pPr>
    </w:p>
    <w:p w14:paraId="21C1ED66" w14:textId="77777777" w:rsidR="001D496E" w:rsidRDefault="001D496E" w:rsidP="001D496E">
      <w:pPr>
        <w:pStyle w:val="ListParagraph"/>
        <w:rPr>
          <w:rFonts w:ascii="Arial" w:hAnsi="Arial" w:cs="Arial"/>
        </w:rPr>
      </w:pPr>
    </w:p>
    <w:p w14:paraId="27BD1CCD" w14:textId="574352BE" w:rsidR="001D496E" w:rsidRPr="00A500DC" w:rsidRDefault="001D496E" w:rsidP="001D496E">
      <w:pPr>
        <w:pStyle w:val="BodyText"/>
        <w:rPr>
          <w:rFonts w:cs="Arial"/>
          <w:b/>
          <w:sz w:val="28"/>
          <w:szCs w:val="28"/>
        </w:rPr>
      </w:pPr>
      <w:r w:rsidRPr="00A500DC">
        <w:rPr>
          <w:rFonts w:cs="Arial"/>
          <w:b/>
          <w:sz w:val="28"/>
          <w:szCs w:val="28"/>
        </w:rPr>
        <w:t>Judging Criteria</w:t>
      </w:r>
    </w:p>
    <w:p w14:paraId="1D06A789" w14:textId="77777777" w:rsidR="001D496E" w:rsidRPr="003A354A" w:rsidRDefault="001D496E" w:rsidP="001D496E">
      <w:pPr>
        <w:pStyle w:val="BodyText"/>
        <w:rPr>
          <w:rFonts w:cs="Arial"/>
          <w:sz w:val="12"/>
          <w:szCs w:val="12"/>
        </w:rPr>
      </w:pPr>
    </w:p>
    <w:p w14:paraId="2355FC0D" w14:textId="77777777" w:rsidR="001D496E" w:rsidRPr="003A354A" w:rsidRDefault="001D496E" w:rsidP="001D496E">
      <w:pPr>
        <w:pStyle w:val="BodyText"/>
        <w:rPr>
          <w:rFonts w:cs="Arial"/>
          <w:szCs w:val="22"/>
        </w:rPr>
      </w:pPr>
      <w:r w:rsidRPr="003A354A">
        <w:rPr>
          <w:rFonts w:cs="Arial"/>
          <w:szCs w:val="22"/>
        </w:rPr>
        <w:t xml:space="preserve">The main criteria </w:t>
      </w:r>
      <w:r>
        <w:rPr>
          <w:rFonts w:cs="Arial"/>
          <w:szCs w:val="22"/>
        </w:rPr>
        <w:t xml:space="preserve">that will be </w:t>
      </w:r>
      <w:r w:rsidRPr="003A354A">
        <w:rPr>
          <w:rFonts w:cs="Arial"/>
          <w:szCs w:val="22"/>
        </w:rPr>
        <w:t>used when assessing applications received will be:</w:t>
      </w:r>
    </w:p>
    <w:p w14:paraId="34B34AED" w14:textId="77777777" w:rsidR="001D496E" w:rsidRPr="003A354A" w:rsidRDefault="001D496E" w:rsidP="001D496E">
      <w:pPr>
        <w:pStyle w:val="BodyText"/>
        <w:rPr>
          <w:rFonts w:cs="Arial"/>
          <w:szCs w:val="22"/>
        </w:rPr>
      </w:pPr>
    </w:p>
    <w:p w14:paraId="5D4E3585" w14:textId="77EC88C8" w:rsidR="001D496E" w:rsidRPr="003A354A" w:rsidRDefault="001D496E" w:rsidP="001D496E">
      <w:pPr>
        <w:pStyle w:val="BodyText"/>
        <w:numPr>
          <w:ilvl w:val="0"/>
          <w:numId w:val="1"/>
        </w:numPr>
        <w:rPr>
          <w:rFonts w:cs="Arial"/>
          <w:szCs w:val="22"/>
        </w:rPr>
      </w:pPr>
      <w:r w:rsidRPr="003A354A">
        <w:rPr>
          <w:rFonts w:cs="Arial"/>
          <w:szCs w:val="22"/>
        </w:rPr>
        <w:t>The soc</w:t>
      </w:r>
      <w:r>
        <w:rPr>
          <w:rFonts w:cs="Arial"/>
          <w:szCs w:val="22"/>
        </w:rPr>
        <w:t>ial, economic</w:t>
      </w:r>
      <w:r w:rsidR="000948B2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and environmental benefits </w:t>
      </w:r>
      <w:r w:rsidRPr="003A354A">
        <w:rPr>
          <w:rFonts w:cs="Arial"/>
          <w:szCs w:val="22"/>
        </w:rPr>
        <w:t xml:space="preserve">which will result from the project </w:t>
      </w:r>
    </w:p>
    <w:p w14:paraId="1C681DD7" w14:textId="77777777" w:rsidR="001D496E" w:rsidRPr="003A354A" w:rsidRDefault="001D496E" w:rsidP="001D496E">
      <w:pPr>
        <w:pStyle w:val="BodyText"/>
        <w:rPr>
          <w:rFonts w:cs="Arial"/>
          <w:szCs w:val="22"/>
        </w:rPr>
      </w:pPr>
    </w:p>
    <w:p w14:paraId="614D7182" w14:textId="77777777" w:rsidR="001D496E" w:rsidRPr="003A354A" w:rsidRDefault="001D496E" w:rsidP="001D496E">
      <w:pPr>
        <w:pStyle w:val="BodyText"/>
        <w:rPr>
          <w:rFonts w:cs="Arial"/>
          <w:szCs w:val="22"/>
        </w:rPr>
      </w:pPr>
      <w:r w:rsidRPr="003A354A">
        <w:rPr>
          <w:rFonts w:cs="Arial"/>
          <w:szCs w:val="22"/>
        </w:rPr>
        <w:t xml:space="preserve">Other factors will also be considered which must be demonstrated in the application: </w:t>
      </w:r>
    </w:p>
    <w:p w14:paraId="73086F1A" w14:textId="77777777" w:rsidR="001D496E" w:rsidRPr="003A354A" w:rsidRDefault="001D496E" w:rsidP="001D496E">
      <w:pPr>
        <w:pStyle w:val="BodyText"/>
        <w:rPr>
          <w:rFonts w:cs="Arial"/>
          <w:szCs w:val="22"/>
        </w:rPr>
      </w:pPr>
    </w:p>
    <w:p w14:paraId="259B2159" w14:textId="48485E63" w:rsidR="001D496E" w:rsidRDefault="001D496E" w:rsidP="001D496E">
      <w:pPr>
        <w:pStyle w:val="BodyText"/>
        <w:numPr>
          <w:ilvl w:val="0"/>
          <w:numId w:val="2"/>
        </w:numPr>
        <w:rPr>
          <w:rFonts w:cs="Arial"/>
          <w:szCs w:val="22"/>
        </w:rPr>
      </w:pPr>
      <w:r w:rsidRPr="008E2AEE">
        <w:rPr>
          <w:rFonts w:cs="Arial"/>
          <w:szCs w:val="22"/>
        </w:rPr>
        <w:t>The ability of the applicant to deliver the project</w:t>
      </w:r>
    </w:p>
    <w:p w14:paraId="4B5B1232" w14:textId="77777777" w:rsidR="001D496E" w:rsidRPr="008E2AEE" w:rsidRDefault="001D496E" w:rsidP="001D496E">
      <w:pPr>
        <w:pStyle w:val="BodyText"/>
        <w:ind w:left="360"/>
        <w:rPr>
          <w:rFonts w:cs="Arial"/>
          <w:sz w:val="12"/>
          <w:szCs w:val="12"/>
        </w:rPr>
      </w:pPr>
    </w:p>
    <w:p w14:paraId="7FD5F136" w14:textId="78916943" w:rsidR="001D496E" w:rsidRDefault="001D496E" w:rsidP="001D496E">
      <w:pPr>
        <w:pStyle w:val="BodyText"/>
        <w:numPr>
          <w:ilvl w:val="0"/>
          <w:numId w:val="2"/>
        </w:numPr>
        <w:rPr>
          <w:rFonts w:cs="Arial"/>
          <w:szCs w:val="22"/>
        </w:rPr>
      </w:pPr>
      <w:r w:rsidRPr="008E2AEE">
        <w:rPr>
          <w:rFonts w:cs="Arial"/>
          <w:szCs w:val="22"/>
        </w:rPr>
        <w:t>How the work will be continued after the project has been completed</w:t>
      </w:r>
      <w:r>
        <w:rPr>
          <w:rFonts w:cs="Arial"/>
          <w:szCs w:val="22"/>
        </w:rPr>
        <w:t>,</w:t>
      </w:r>
      <w:r w:rsidRPr="008E2AEE">
        <w:rPr>
          <w:rFonts w:cs="Arial"/>
          <w:szCs w:val="22"/>
        </w:rPr>
        <w:t xml:space="preserve"> </w:t>
      </w:r>
      <w:proofErr w:type="spellStart"/>
      <w:r w:rsidR="00A92671" w:rsidRPr="008E2AEE">
        <w:rPr>
          <w:rFonts w:cs="Arial"/>
          <w:szCs w:val="22"/>
        </w:rPr>
        <w:t>ie</w:t>
      </w:r>
      <w:proofErr w:type="spellEnd"/>
      <w:r w:rsidRPr="008E2AEE">
        <w:rPr>
          <w:rFonts w:cs="Arial"/>
          <w:szCs w:val="22"/>
        </w:rPr>
        <w:t xml:space="preserve"> its sustainability and legacy</w:t>
      </w:r>
    </w:p>
    <w:p w14:paraId="4D9397C8" w14:textId="77777777" w:rsidR="001D496E" w:rsidRPr="008E2AEE" w:rsidRDefault="001D496E" w:rsidP="001D496E">
      <w:pPr>
        <w:pStyle w:val="ListParagraph"/>
        <w:rPr>
          <w:rFonts w:cs="Arial"/>
          <w:sz w:val="12"/>
          <w:szCs w:val="12"/>
        </w:rPr>
      </w:pPr>
    </w:p>
    <w:p w14:paraId="3232B48A" w14:textId="5F411EF5" w:rsidR="001D496E" w:rsidRPr="008E2AEE" w:rsidRDefault="001D496E" w:rsidP="001D496E">
      <w:pPr>
        <w:pStyle w:val="BodyText"/>
        <w:numPr>
          <w:ilvl w:val="0"/>
          <w:numId w:val="2"/>
        </w:numPr>
        <w:rPr>
          <w:rFonts w:cs="Arial"/>
          <w:szCs w:val="22"/>
        </w:rPr>
      </w:pPr>
      <w:r w:rsidRPr="008E2AEE">
        <w:rPr>
          <w:rFonts w:cs="Arial"/>
          <w:szCs w:val="22"/>
        </w:rPr>
        <w:t>Value for money</w:t>
      </w:r>
    </w:p>
    <w:p w14:paraId="5E44E6A7" w14:textId="77777777" w:rsidR="001D496E" w:rsidRDefault="001D496E" w:rsidP="001D496E">
      <w:pPr>
        <w:pStyle w:val="BodyText"/>
        <w:rPr>
          <w:rFonts w:cs="Arial"/>
          <w:szCs w:val="22"/>
        </w:rPr>
      </w:pPr>
    </w:p>
    <w:p w14:paraId="14516A50" w14:textId="77777777" w:rsidR="001D496E" w:rsidRPr="00A500DC" w:rsidRDefault="001D496E" w:rsidP="001D496E">
      <w:pPr>
        <w:pStyle w:val="BodyText"/>
        <w:rPr>
          <w:rFonts w:cs="Arial"/>
          <w:sz w:val="28"/>
          <w:szCs w:val="28"/>
        </w:rPr>
      </w:pPr>
      <w:r w:rsidRPr="00A500DC">
        <w:rPr>
          <w:rFonts w:cs="Arial"/>
          <w:b/>
          <w:sz w:val="28"/>
          <w:szCs w:val="28"/>
        </w:rPr>
        <w:t xml:space="preserve">Application Process </w:t>
      </w:r>
    </w:p>
    <w:p w14:paraId="12684A25" w14:textId="77777777" w:rsidR="001D496E" w:rsidRPr="008971EC" w:rsidRDefault="001D496E" w:rsidP="001D496E">
      <w:pPr>
        <w:pStyle w:val="BodyText"/>
        <w:rPr>
          <w:rFonts w:cs="Arial"/>
          <w:sz w:val="12"/>
          <w:szCs w:val="12"/>
        </w:rPr>
      </w:pPr>
    </w:p>
    <w:p w14:paraId="45F12111" w14:textId="1AF37503" w:rsidR="001D496E" w:rsidRDefault="001D496E" w:rsidP="001D496E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</w:rPr>
      </w:pPr>
      <w:r w:rsidRPr="00A045F3">
        <w:rPr>
          <w:rFonts w:ascii="Arial" w:hAnsi="Arial" w:cs="Arial"/>
        </w:rPr>
        <w:t xml:space="preserve">Applications to the Fund need to be made </w:t>
      </w:r>
      <w:r>
        <w:rPr>
          <w:rFonts w:ascii="Arial" w:hAnsi="Arial" w:cs="Arial"/>
        </w:rPr>
        <w:t xml:space="preserve">using the </w:t>
      </w:r>
      <w:r w:rsidRPr="00A045F3">
        <w:rPr>
          <w:rFonts w:ascii="Arial" w:hAnsi="Arial" w:cs="Arial"/>
        </w:rPr>
        <w:t xml:space="preserve">application form available </w:t>
      </w:r>
      <w:r>
        <w:rPr>
          <w:rFonts w:ascii="Arial" w:hAnsi="Arial" w:cs="Arial"/>
        </w:rPr>
        <w:t xml:space="preserve">from Fauldhouse </w:t>
      </w:r>
      <w:r w:rsidR="00F33BA2">
        <w:rPr>
          <w:rFonts w:ascii="Arial" w:hAnsi="Arial" w:cs="Arial"/>
        </w:rPr>
        <w:t>and</w:t>
      </w:r>
      <w:r w:rsidR="000948B2">
        <w:rPr>
          <w:rFonts w:ascii="Arial" w:hAnsi="Arial" w:cs="Arial"/>
        </w:rPr>
        <w:t xml:space="preserve"> </w:t>
      </w:r>
      <w:proofErr w:type="spellStart"/>
      <w:r w:rsidR="000948B2">
        <w:rPr>
          <w:rFonts w:ascii="Arial" w:hAnsi="Arial" w:cs="Arial"/>
        </w:rPr>
        <w:t>Breich</w:t>
      </w:r>
      <w:proofErr w:type="spellEnd"/>
      <w:r w:rsidR="000948B2">
        <w:rPr>
          <w:rFonts w:ascii="Arial" w:hAnsi="Arial" w:cs="Arial"/>
        </w:rPr>
        <w:t xml:space="preserve"> Valley </w:t>
      </w:r>
      <w:r>
        <w:rPr>
          <w:rFonts w:ascii="Arial" w:hAnsi="Arial" w:cs="Arial"/>
        </w:rPr>
        <w:t xml:space="preserve">Community Development Trust, the application will also be available on Fauldhouse </w:t>
      </w:r>
      <w:r w:rsidR="000948B2">
        <w:rPr>
          <w:rFonts w:ascii="Arial" w:hAnsi="Arial" w:cs="Arial"/>
        </w:rPr>
        <w:t xml:space="preserve">and </w:t>
      </w:r>
      <w:proofErr w:type="spellStart"/>
      <w:r w:rsidR="000948B2">
        <w:rPr>
          <w:rFonts w:ascii="Arial" w:hAnsi="Arial" w:cs="Arial"/>
        </w:rPr>
        <w:t>Breich</w:t>
      </w:r>
      <w:proofErr w:type="spellEnd"/>
      <w:r w:rsidR="000948B2">
        <w:rPr>
          <w:rFonts w:ascii="Arial" w:hAnsi="Arial" w:cs="Arial"/>
        </w:rPr>
        <w:t xml:space="preserve"> Valley </w:t>
      </w:r>
      <w:r>
        <w:rPr>
          <w:rFonts w:ascii="Arial" w:hAnsi="Arial" w:cs="Arial"/>
        </w:rPr>
        <w:t>Community Development Trust</w:t>
      </w:r>
      <w:r w:rsidR="0009192C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s </w:t>
      </w:r>
      <w:r w:rsidRPr="00A045F3">
        <w:rPr>
          <w:rFonts w:ascii="Arial" w:hAnsi="Arial" w:cs="Arial"/>
        </w:rPr>
        <w:t>website.</w:t>
      </w:r>
    </w:p>
    <w:p w14:paraId="7B164FA3" w14:textId="78DE8732" w:rsidR="00114A4B" w:rsidRPr="002501C2" w:rsidRDefault="001D496E" w:rsidP="00114A4B">
      <w:pPr>
        <w:pStyle w:val="ListParagraph"/>
        <w:numPr>
          <w:ilvl w:val="0"/>
          <w:numId w:val="2"/>
        </w:numPr>
        <w:spacing w:after="120"/>
        <w:rPr>
          <w:rFonts w:cs="Arial"/>
        </w:rPr>
      </w:pPr>
      <w:r w:rsidRPr="001D496E">
        <w:rPr>
          <w:rFonts w:ascii="Arial" w:hAnsi="Arial" w:cs="Arial"/>
        </w:rPr>
        <w:t xml:space="preserve">The deadlines for applications will be detailed on publicity materials and Fauldhouse </w:t>
      </w:r>
      <w:r w:rsidR="000948B2">
        <w:rPr>
          <w:rFonts w:ascii="Arial" w:hAnsi="Arial" w:cs="Arial"/>
        </w:rPr>
        <w:t xml:space="preserve">and </w:t>
      </w:r>
      <w:proofErr w:type="spellStart"/>
      <w:r w:rsidR="000948B2">
        <w:rPr>
          <w:rFonts w:ascii="Arial" w:hAnsi="Arial" w:cs="Arial"/>
        </w:rPr>
        <w:t>Breich</w:t>
      </w:r>
      <w:proofErr w:type="spellEnd"/>
      <w:r w:rsidR="000948B2">
        <w:rPr>
          <w:rFonts w:ascii="Arial" w:hAnsi="Arial" w:cs="Arial"/>
        </w:rPr>
        <w:t xml:space="preserve"> Valley</w:t>
      </w:r>
      <w:r w:rsidR="00F33BA2">
        <w:rPr>
          <w:rFonts w:ascii="Arial" w:hAnsi="Arial" w:cs="Arial"/>
        </w:rPr>
        <w:t xml:space="preserve"> </w:t>
      </w:r>
      <w:r w:rsidRPr="001D496E">
        <w:rPr>
          <w:rFonts w:ascii="Arial" w:hAnsi="Arial" w:cs="Arial"/>
        </w:rPr>
        <w:t xml:space="preserve">Community Development Trust </w:t>
      </w:r>
      <w:r>
        <w:rPr>
          <w:rFonts w:ascii="Arial" w:hAnsi="Arial" w:cs="Arial"/>
        </w:rPr>
        <w:t>website.</w:t>
      </w:r>
    </w:p>
    <w:p w14:paraId="26821D24" w14:textId="77777777" w:rsidR="002501C2" w:rsidRPr="002501C2" w:rsidRDefault="002501C2" w:rsidP="002501C2">
      <w:pPr>
        <w:spacing w:after="120"/>
        <w:ind w:left="360"/>
      </w:pPr>
    </w:p>
    <w:p w14:paraId="01A9CF1A" w14:textId="446E2BC5" w:rsidR="003972DA" w:rsidRPr="00472DBC" w:rsidRDefault="00114A4B" w:rsidP="00472DBC">
      <w:pPr>
        <w:spacing w:after="120"/>
        <w:jc w:val="center"/>
        <w:rPr>
          <w:b/>
          <w:bCs/>
          <w:sz w:val="24"/>
          <w:szCs w:val="24"/>
        </w:rPr>
      </w:pPr>
      <w:r w:rsidRPr="002501C2">
        <w:rPr>
          <w:b/>
          <w:bCs/>
          <w:sz w:val="24"/>
          <w:szCs w:val="24"/>
        </w:rPr>
        <w:t xml:space="preserve">The closing date for applications </w:t>
      </w:r>
      <w:r w:rsidRPr="00A500DC">
        <w:rPr>
          <w:b/>
          <w:bCs/>
          <w:sz w:val="24"/>
          <w:szCs w:val="24"/>
        </w:rPr>
        <w:t xml:space="preserve">is </w:t>
      </w:r>
      <w:r w:rsidR="00B263DB" w:rsidRPr="00A500DC">
        <w:rPr>
          <w:b/>
          <w:bCs/>
          <w:sz w:val="24"/>
          <w:szCs w:val="24"/>
        </w:rPr>
        <w:t>9a</w:t>
      </w:r>
      <w:r w:rsidRPr="00A500DC">
        <w:rPr>
          <w:b/>
          <w:bCs/>
          <w:sz w:val="24"/>
          <w:szCs w:val="24"/>
        </w:rPr>
        <w:t xml:space="preserve">m on </w:t>
      </w:r>
      <w:r w:rsidR="00B263DB" w:rsidRPr="00A500DC">
        <w:rPr>
          <w:b/>
          <w:bCs/>
          <w:sz w:val="24"/>
          <w:szCs w:val="24"/>
        </w:rPr>
        <w:t>Mon</w:t>
      </w:r>
      <w:r w:rsidRPr="00A500DC">
        <w:rPr>
          <w:b/>
          <w:bCs/>
          <w:sz w:val="24"/>
          <w:szCs w:val="24"/>
        </w:rPr>
        <w:t xml:space="preserve">day </w:t>
      </w:r>
      <w:r w:rsidR="00A500DC">
        <w:rPr>
          <w:b/>
          <w:bCs/>
          <w:sz w:val="24"/>
          <w:szCs w:val="24"/>
        </w:rPr>
        <w:t>9</w:t>
      </w:r>
      <w:r w:rsidR="00306EA2" w:rsidRPr="00A500DC">
        <w:rPr>
          <w:b/>
          <w:bCs/>
          <w:sz w:val="24"/>
          <w:szCs w:val="24"/>
          <w:vertAlign w:val="superscript"/>
        </w:rPr>
        <w:t>th</w:t>
      </w:r>
      <w:r w:rsidR="00306EA2" w:rsidRPr="00A500DC">
        <w:rPr>
          <w:b/>
          <w:bCs/>
          <w:sz w:val="24"/>
          <w:szCs w:val="24"/>
        </w:rPr>
        <w:t xml:space="preserve"> February</w:t>
      </w:r>
      <w:r w:rsidR="000A7BAF" w:rsidRPr="00A500DC">
        <w:rPr>
          <w:b/>
          <w:bCs/>
          <w:sz w:val="24"/>
          <w:szCs w:val="24"/>
        </w:rPr>
        <w:t xml:space="preserve"> 202</w:t>
      </w:r>
      <w:r w:rsidR="00A500DC">
        <w:rPr>
          <w:b/>
          <w:bCs/>
          <w:sz w:val="24"/>
          <w:szCs w:val="24"/>
        </w:rPr>
        <w:t>6</w:t>
      </w:r>
    </w:p>
    <w:p w14:paraId="5A5F98D8" w14:textId="77777777" w:rsidR="00756B4A" w:rsidRPr="00756B4A" w:rsidRDefault="00756B4A" w:rsidP="00756B4A"/>
    <w:p w14:paraId="206A2064" w14:textId="13CB6F52" w:rsidR="00756B4A" w:rsidRPr="00756B4A" w:rsidRDefault="00BD1C8E" w:rsidP="00472DBC">
      <w:pPr>
        <w:jc w:val="center"/>
      </w:pPr>
      <w:r>
        <w:rPr>
          <w:noProof/>
        </w:rPr>
        <w:drawing>
          <wp:inline distT="0" distB="0" distL="0" distR="0" wp14:anchorId="35828221" wp14:editId="183C7948">
            <wp:extent cx="1695450" cy="566280"/>
            <wp:effectExtent l="0" t="0" r="0" b="5715"/>
            <wp:docPr id="565952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95219" name="Picture 5659521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588" cy="5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03C8">
        <w:t xml:space="preserve">     </w:t>
      </w:r>
      <w:r>
        <w:rPr>
          <w:noProof/>
        </w:rPr>
        <w:drawing>
          <wp:inline distT="0" distB="0" distL="0" distR="0" wp14:anchorId="58133FFB" wp14:editId="1DD6CD9A">
            <wp:extent cx="1774130" cy="400685"/>
            <wp:effectExtent l="0" t="0" r="0" b="0"/>
            <wp:docPr id="11005629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562962" name="Picture 110056296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905" cy="413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03C8">
        <w:t xml:space="preserve">     </w:t>
      </w:r>
      <w:r w:rsidR="00343A75">
        <w:rPr>
          <w:noProof/>
        </w:rPr>
        <w:drawing>
          <wp:inline distT="0" distB="0" distL="0" distR="0" wp14:anchorId="2C75F9C4" wp14:editId="667B28BD">
            <wp:extent cx="704850" cy="704850"/>
            <wp:effectExtent l="0" t="0" r="0" b="0"/>
            <wp:docPr id="16999833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983399" name="Picture 169998339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1B892" w14:textId="77777777" w:rsidR="00756B4A" w:rsidRPr="00756B4A" w:rsidRDefault="00756B4A" w:rsidP="00756B4A"/>
    <w:p w14:paraId="7E56BDF0" w14:textId="2BCCF94E" w:rsidR="00756B4A" w:rsidRDefault="00756B4A" w:rsidP="00756B4A">
      <w:pPr>
        <w:tabs>
          <w:tab w:val="left" w:pos="3795"/>
          <w:tab w:val="left" w:pos="7395"/>
        </w:tabs>
      </w:pPr>
      <w:r>
        <w:tab/>
      </w:r>
      <w:r>
        <w:tab/>
      </w:r>
    </w:p>
    <w:p w14:paraId="1647EAB8" w14:textId="77777777" w:rsidR="00706317" w:rsidRPr="00706317" w:rsidRDefault="00706317" w:rsidP="00706317"/>
    <w:p w14:paraId="1E3D9023" w14:textId="77777777" w:rsidR="00706317" w:rsidRPr="00706317" w:rsidRDefault="00706317" w:rsidP="00706317"/>
    <w:p w14:paraId="3F220155" w14:textId="77777777" w:rsidR="00706317" w:rsidRPr="00706317" w:rsidRDefault="00706317" w:rsidP="00706317"/>
    <w:p w14:paraId="29058417" w14:textId="77777777" w:rsidR="00706317" w:rsidRPr="00706317" w:rsidRDefault="00706317" w:rsidP="00706317"/>
    <w:p w14:paraId="1B9B37AC" w14:textId="77777777" w:rsidR="00706317" w:rsidRPr="00706317" w:rsidRDefault="00706317" w:rsidP="00706317"/>
    <w:p w14:paraId="7C080E1F" w14:textId="77777777" w:rsidR="00706317" w:rsidRPr="00706317" w:rsidRDefault="00706317" w:rsidP="00706317"/>
    <w:p w14:paraId="55249C2F" w14:textId="77777777" w:rsidR="00706317" w:rsidRPr="00706317" w:rsidRDefault="00706317" w:rsidP="00706317"/>
    <w:p w14:paraId="2C0C3D15" w14:textId="77777777" w:rsidR="00706317" w:rsidRPr="00706317" w:rsidRDefault="00706317" w:rsidP="00706317"/>
    <w:p w14:paraId="71B811E7" w14:textId="20B05B4E" w:rsidR="00706317" w:rsidRPr="00706317" w:rsidRDefault="00706317" w:rsidP="00706317">
      <w:pPr>
        <w:tabs>
          <w:tab w:val="left" w:pos="9195"/>
        </w:tabs>
        <w:ind w:firstLine="720"/>
      </w:pPr>
      <w:r>
        <w:tab/>
      </w:r>
    </w:p>
    <w:sectPr w:rsidR="00706317" w:rsidRPr="00706317" w:rsidSect="00A500DC">
      <w:headerReference w:type="default" r:id="rId14"/>
      <w:footerReference w:type="default" r:id="rId15"/>
      <w:headerReference w:type="first" r:id="rId16"/>
      <w:pgSz w:w="11906" w:h="16838"/>
      <w:pgMar w:top="720" w:right="720" w:bottom="720" w:left="72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6E50C" w14:textId="77777777" w:rsidR="00F17F2C" w:rsidRDefault="00F17F2C">
      <w:pPr>
        <w:spacing w:after="0" w:line="240" w:lineRule="auto"/>
      </w:pPr>
      <w:r>
        <w:separator/>
      </w:r>
    </w:p>
  </w:endnote>
  <w:endnote w:type="continuationSeparator" w:id="0">
    <w:p w14:paraId="2CDBB884" w14:textId="77777777" w:rsidR="00F17F2C" w:rsidRDefault="00F17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Web Pro">
    <w:altName w:val="Times New Roman"/>
    <w:charset w:val="00"/>
    <w:family w:val="auto"/>
    <w:pitch w:val="default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1179483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02E260" w14:textId="459CC9AC" w:rsidR="00706317" w:rsidRPr="00706317" w:rsidRDefault="00706317">
        <w:pPr>
          <w:pStyle w:val="Footer"/>
          <w:rPr>
            <w:sz w:val="18"/>
            <w:szCs w:val="18"/>
          </w:rPr>
        </w:pPr>
        <w:r w:rsidRPr="00706317">
          <w:rPr>
            <w:sz w:val="18"/>
            <w:szCs w:val="18"/>
          </w:rPr>
          <w:t xml:space="preserve">Page | </w:t>
        </w:r>
        <w:r w:rsidRPr="00706317">
          <w:rPr>
            <w:sz w:val="18"/>
            <w:szCs w:val="18"/>
          </w:rPr>
          <w:fldChar w:fldCharType="begin"/>
        </w:r>
        <w:r w:rsidRPr="00706317">
          <w:rPr>
            <w:sz w:val="18"/>
            <w:szCs w:val="18"/>
          </w:rPr>
          <w:instrText xml:space="preserve"> PAGE   \* MERGEFORMAT </w:instrText>
        </w:r>
        <w:r w:rsidRPr="00706317">
          <w:rPr>
            <w:sz w:val="18"/>
            <w:szCs w:val="18"/>
          </w:rPr>
          <w:fldChar w:fldCharType="separate"/>
        </w:r>
        <w:r w:rsidRPr="00706317">
          <w:rPr>
            <w:noProof/>
            <w:sz w:val="18"/>
            <w:szCs w:val="18"/>
          </w:rPr>
          <w:t>2</w:t>
        </w:r>
        <w:r w:rsidRPr="00706317">
          <w:rPr>
            <w:noProof/>
            <w:sz w:val="18"/>
            <w:szCs w:val="18"/>
          </w:rPr>
          <w:fldChar w:fldCharType="end"/>
        </w:r>
        <w:r>
          <w:rPr>
            <w:noProof/>
            <w:sz w:val="18"/>
            <w:szCs w:val="18"/>
          </w:rPr>
          <w:tab/>
        </w:r>
        <w:r>
          <w:rPr>
            <w:noProof/>
            <w:sz w:val="18"/>
            <w:szCs w:val="18"/>
          </w:rPr>
          <w:tab/>
        </w:r>
        <w:r>
          <w:rPr>
            <w:noProof/>
            <w:sz w:val="18"/>
            <w:szCs w:val="18"/>
          </w:rPr>
          <w:tab/>
          <w:t>Jan 2026 (LD)</w:t>
        </w:r>
      </w:p>
    </w:sdtContent>
  </w:sdt>
  <w:p w14:paraId="7BE62D5B" w14:textId="77777777" w:rsidR="00756B4A" w:rsidRDefault="00756B4A" w:rsidP="00756B4A">
    <w:pPr>
      <w:pStyle w:val="Footer"/>
      <w:tabs>
        <w:tab w:val="clear" w:pos="8306"/>
        <w:tab w:val="right" w:pos="102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FAAAB" w14:textId="77777777" w:rsidR="00F17F2C" w:rsidRDefault="00F17F2C">
      <w:pPr>
        <w:spacing w:after="0" w:line="240" w:lineRule="auto"/>
      </w:pPr>
      <w:r>
        <w:separator/>
      </w:r>
    </w:p>
  </w:footnote>
  <w:footnote w:type="continuationSeparator" w:id="0">
    <w:p w14:paraId="125AE6FB" w14:textId="77777777" w:rsidR="00F17F2C" w:rsidRDefault="00F17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FBF88" w14:textId="77777777" w:rsidR="0027123A" w:rsidRDefault="001D496E">
    <w:pPr>
      <w:pStyle w:val="Header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16E7D" w14:textId="2104796E" w:rsidR="0027123A" w:rsidRDefault="0027123A" w:rsidP="002501C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50F99"/>
    <w:multiLevelType w:val="hybridMultilevel"/>
    <w:tmpl w:val="014ACE2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04A05"/>
    <w:multiLevelType w:val="hybridMultilevel"/>
    <w:tmpl w:val="9E9087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A6CBE"/>
    <w:multiLevelType w:val="hybridMultilevel"/>
    <w:tmpl w:val="107A6CA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250A8"/>
    <w:multiLevelType w:val="hybridMultilevel"/>
    <w:tmpl w:val="9D1A8E7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8057683">
    <w:abstractNumId w:val="2"/>
  </w:num>
  <w:num w:numId="2" w16cid:durableId="1655379713">
    <w:abstractNumId w:val="1"/>
  </w:num>
  <w:num w:numId="3" w16cid:durableId="610473285">
    <w:abstractNumId w:val="3"/>
  </w:num>
  <w:num w:numId="4" w16cid:durableId="272595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96E"/>
    <w:rsid w:val="00057771"/>
    <w:rsid w:val="00074A05"/>
    <w:rsid w:val="00087E2F"/>
    <w:rsid w:val="0009192C"/>
    <w:rsid w:val="000948B2"/>
    <w:rsid w:val="000A7BAF"/>
    <w:rsid w:val="000B31C9"/>
    <w:rsid w:val="000F725F"/>
    <w:rsid w:val="00114A4B"/>
    <w:rsid w:val="001658E6"/>
    <w:rsid w:val="001B42F7"/>
    <w:rsid w:val="001D496E"/>
    <w:rsid w:val="001F54AB"/>
    <w:rsid w:val="00234D88"/>
    <w:rsid w:val="002379FC"/>
    <w:rsid w:val="00246D68"/>
    <w:rsid w:val="002501C2"/>
    <w:rsid w:val="0027123A"/>
    <w:rsid w:val="00280119"/>
    <w:rsid w:val="002A4A7A"/>
    <w:rsid w:val="002F784B"/>
    <w:rsid w:val="00306EA2"/>
    <w:rsid w:val="00343A75"/>
    <w:rsid w:val="00366F31"/>
    <w:rsid w:val="00380665"/>
    <w:rsid w:val="003972DA"/>
    <w:rsid w:val="003B6F11"/>
    <w:rsid w:val="003C0B90"/>
    <w:rsid w:val="00420B5B"/>
    <w:rsid w:val="00447144"/>
    <w:rsid w:val="00472DBC"/>
    <w:rsid w:val="00510073"/>
    <w:rsid w:val="00571899"/>
    <w:rsid w:val="005A4764"/>
    <w:rsid w:val="005E6896"/>
    <w:rsid w:val="0061592A"/>
    <w:rsid w:val="00643A9A"/>
    <w:rsid w:val="00644D35"/>
    <w:rsid w:val="00650CDF"/>
    <w:rsid w:val="006655D8"/>
    <w:rsid w:val="00673796"/>
    <w:rsid w:val="00696B34"/>
    <w:rsid w:val="006A0758"/>
    <w:rsid w:val="00706317"/>
    <w:rsid w:val="00756B4A"/>
    <w:rsid w:val="00767039"/>
    <w:rsid w:val="007C04F4"/>
    <w:rsid w:val="007C16E3"/>
    <w:rsid w:val="008403C8"/>
    <w:rsid w:val="00893378"/>
    <w:rsid w:val="008F0F8F"/>
    <w:rsid w:val="00910C36"/>
    <w:rsid w:val="00933D51"/>
    <w:rsid w:val="00945DC1"/>
    <w:rsid w:val="009C7036"/>
    <w:rsid w:val="009E6794"/>
    <w:rsid w:val="009F2C1B"/>
    <w:rsid w:val="00A500DC"/>
    <w:rsid w:val="00A92671"/>
    <w:rsid w:val="00AC3EFD"/>
    <w:rsid w:val="00B263DB"/>
    <w:rsid w:val="00B72644"/>
    <w:rsid w:val="00BD1C8E"/>
    <w:rsid w:val="00C737FB"/>
    <w:rsid w:val="00CC051D"/>
    <w:rsid w:val="00D9337A"/>
    <w:rsid w:val="00E65AD4"/>
    <w:rsid w:val="00F17F2C"/>
    <w:rsid w:val="00F33BA2"/>
    <w:rsid w:val="00F3516C"/>
    <w:rsid w:val="00F62ECD"/>
    <w:rsid w:val="00F67416"/>
    <w:rsid w:val="00F71317"/>
    <w:rsid w:val="00FA56B8"/>
    <w:rsid w:val="00FA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39805A"/>
  <w15:chartTrackingRefBased/>
  <w15:docId w15:val="{E6964A64-9881-4D40-A7BA-7AF8D3C3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96E"/>
    <w:pPr>
      <w:spacing w:after="200" w:line="276" w:lineRule="auto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D496E"/>
    <w:pPr>
      <w:spacing w:after="0" w:line="240" w:lineRule="auto"/>
    </w:pPr>
    <w:rPr>
      <w:rFonts w:eastAsia="Calibri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1D496E"/>
    <w:rPr>
      <w:rFonts w:ascii="Arial" w:eastAsia="Calibri" w:hAnsi="Arial" w:cs="Times New Roman"/>
      <w:szCs w:val="20"/>
    </w:rPr>
  </w:style>
  <w:style w:type="paragraph" w:customStyle="1" w:styleId="Default">
    <w:name w:val="Default"/>
    <w:rsid w:val="001D496E"/>
    <w:pPr>
      <w:autoSpaceDE w:val="0"/>
      <w:autoSpaceDN w:val="0"/>
      <w:adjustRightInd w:val="0"/>
      <w:spacing w:after="0" w:line="240" w:lineRule="auto"/>
    </w:pPr>
    <w:rPr>
      <w:rFonts w:ascii="Myriad Web Pro" w:eastAsia="Times New Roman" w:hAnsi="Myriad Web Pro" w:cs="Myriad Web Pro"/>
      <w:color w:val="000000"/>
      <w:sz w:val="24"/>
      <w:szCs w:val="24"/>
    </w:rPr>
  </w:style>
  <w:style w:type="paragraph" w:styleId="Header">
    <w:name w:val="header"/>
    <w:basedOn w:val="Normal"/>
    <w:link w:val="HeaderChar"/>
    <w:rsid w:val="001D496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D496E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rsid w:val="001D496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96E"/>
    <w:rPr>
      <w:rFonts w:ascii="Arial" w:eastAsia="Times New Roman" w:hAnsi="Arial" w:cs="Arial"/>
    </w:rPr>
  </w:style>
  <w:style w:type="paragraph" w:styleId="ListParagraph">
    <w:name w:val="List Paragraph"/>
    <w:basedOn w:val="Normal"/>
    <w:qFormat/>
    <w:rsid w:val="001D496E"/>
    <w:pPr>
      <w:spacing w:after="0" w:line="240" w:lineRule="auto"/>
      <w:ind w:left="720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b3b23b-2b59-4abd-be33-5bfc98d6870d">
      <Terms xmlns="http://schemas.microsoft.com/office/infopath/2007/PartnerControls"/>
    </lcf76f155ced4ddcb4097134ff3c332f>
    <TaxCatchAll xmlns="862dd212-ab11-4a3a-bf9d-99dff01ce76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5DF4605D3A9E4CB28CB44AFD93F62C" ma:contentTypeVersion="18" ma:contentTypeDescription="Create a new document." ma:contentTypeScope="" ma:versionID="97b1dcb3b03fefb7d81a1680adce6440">
  <xsd:schema xmlns:xsd="http://www.w3.org/2001/XMLSchema" xmlns:xs="http://www.w3.org/2001/XMLSchema" xmlns:p="http://schemas.microsoft.com/office/2006/metadata/properties" xmlns:ns2="862dd212-ab11-4a3a-bf9d-99dff01ce76c" xmlns:ns3="95b3b23b-2b59-4abd-be33-5bfc98d6870d" targetNamespace="http://schemas.microsoft.com/office/2006/metadata/properties" ma:root="true" ma:fieldsID="ebad25ec8bc52b1d1428e3c3f6071f31" ns2:_="" ns3:_="">
    <xsd:import namespace="862dd212-ab11-4a3a-bf9d-99dff01ce76c"/>
    <xsd:import namespace="95b3b23b-2b59-4abd-be33-5bfc98d687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dd212-ab11-4a3a-bf9d-99dff01ce7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8fbbab-3237-437b-bde9-989e2b7a0ea2}" ma:internalName="TaxCatchAll" ma:showField="CatchAllData" ma:web="862dd212-ab11-4a3a-bf9d-99dff01ce7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3b23b-2b59-4abd-be33-5bfc98d68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2f55d0b-775b-472b-a730-09bf0537e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9BA223-2E7E-4F82-86DD-49D8BA3758B6}">
  <ds:schemaRefs>
    <ds:schemaRef ds:uri="http://schemas.microsoft.com/office/2006/metadata/properties"/>
    <ds:schemaRef ds:uri="http://schemas.microsoft.com/office/infopath/2007/PartnerControls"/>
    <ds:schemaRef ds:uri="95b3b23b-2b59-4abd-be33-5bfc98d6870d"/>
    <ds:schemaRef ds:uri="862dd212-ab11-4a3a-bf9d-99dff01ce76c"/>
  </ds:schemaRefs>
</ds:datastoreItem>
</file>

<file path=customXml/itemProps2.xml><?xml version="1.0" encoding="utf-8"?>
<ds:datastoreItem xmlns:ds="http://schemas.openxmlformats.org/officeDocument/2006/customXml" ds:itemID="{6AA320C4-E7A5-4F6A-BE45-1E27266561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A4B64A-DCCD-4241-A4EF-F81A0F44E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dd212-ab11-4a3a-bf9d-99dff01ce76c"/>
    <ds:schemaRef ds:uri="95b3b23b-2b59-4abd-be33-5bfc98d68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466</Words>
  <Characters>2484</Characters>
  <Application>Microsoft Office Word</Application>
  <DocSecurity>0</DocSecurity>
  <Lines>207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Smith</dc:creator>
  <cp:keywords/>
  <dc:description/>
  <cp:lastModifiedBy>Lesley Dunsmore</cp:lastModifiedBy>
  <cp:revision>4</cp:revision>
  <cp:lastPrinted>2026-01-07T11:55:00Z</cp:lastPrinted>
  <dcterms:created xsi:type="dcterms:W3CDTF">2026-01-06T11:50:00Z</dcterms:created>
  <dcterms:modified xsi:type="dcterms:W3CDTF">2026-01-07T11:58:00Z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0x010100BA5DF4605D3A9E4CB28CB44AFD93F62C</vt:lpwstr>
  </property>
  <property fmtid="{D5CDD505-2E9C-101B-9397-08002B2CF9AE}" pid="3" name="MediaServiceImageTags">
    <vt:lpwstr/>
  </property>
</Properties>
</file>